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575" w:rsidRDefault="00E57575" w:rsidP="00E57575">
      <w:pPr>
        <w:pStyle w:val="a3"/>
        <w:shd w:val="clear" w:color="auto" w:fill="FFFFFF"/>
        <w:spacing w:before="0" w:beforeAutospacing="0" w:after="0" w:afterAutospacing="0"/>
        <w:jc w:val="center"/>
        <w:rPr>
          <w:rFonts w:ascii="PingFangSC-light" w:hAnsi="PingFangSC-light"/>
          <w:color w:val="000000"/>
          <w:sz w:val="26"/>
          <w:szCs w:val="26"/>
        </w:rPr>
      </w:pPr>
      <w:r>
        <w:rPr>
          <w:rFonts w:ascii="PingFangSC-light" w:hAnsi="PingFangSC-light"/>
          <w:b/>
          <w:bCs/>
          <w:color w:val="000000"/>
          <w:sz w:val="26"/>
          <w:szCs w:val="26"/>
        </w:rPr>
        <w:t>国家发展改革委办公厅关于进一步做好</w:t>
      </w:r>
    </w:p>
    <w:p w:rsidR="00E57575" w:rsidRDefault="00E57575" w:rsidP="00E57575">
      <w:pPr>
        <w:pStyle w:val="a3"/>
        <w:shd w:val="clear" w:color="auto" w:fill="FFFFFF"/>
        <w:spacing w:before="0" w:beforeAutospacing="0" w:after="0" w:afterAutospacing="0"/>
        <w:jc w:val="center"/>
        <w:rPr>
          <w:rFonts w:ascii="PingFangSC-light" w:hAnsi="PingFangSC-light"/>
          <w:color w:val="000000"/>
          <w:sz w:val="26"/>
          <w:szCs w:val="26"/>
        </w:rPr>
      </w:pPr>
      <w:r>
        <w:rPr>
          <w:rFonts w:ascii="Times New Roman" w:hAnsi="Times New Roman" w:cs="Times New Roman"/>
          <w:b/>
          <w:bCs/>
          <w:color w:val="000000"/>
          <w:sz w:val="26"/>
          <w:szCs w:val="26"/>
        </w:rPr>
        <w:t>﻿</w:t>
      </w:r>
      <w:r>
        <w:rPr>
          <w:rFonts w:ascii="PingFangSC-light" w:hAnsi="PingFangSC-light"/>
          <w:b/>
          <w:bCs/>
          <w:color w:val="000000"/>
          <w:sz w:val="26"/>
          <w:szCs w:val="26"/>
        </w:rPr>
        <w:t>《必须招标的工程项目规定》和《必须招标的基础设施和公用事业项目范围规定》实施工作的通知</w:t>
      </w:r>
    </w:p>
    <w:p w:rsidR="00E57575" w:rsidRDefault="00E57575" w:rsidP="00E57575">
      <w:pPr>
        <w:pStyle w:val="a3"/>
        <w:shd w:val="clear" w:color="auto" w:fill="FFFFFF"/>
        <w:spacing w:before="0" w:beforeAutospacing="0" w:after="0" w:afterAutospacing="0"/>
        <w:jc w:val="center"/>
        <w:rPr>
          <w:rFonts w:ascii="PingFangSC-light" w:hAnsi="PingFangSC-light"/>
          <w:color w:val="000000"/>
          <w:sz w:val="26"/>
          <w:szCs w:val="26"/>
        </w:rPr>
      </w:pPr>
    </w:p>
    <w:p w:rsidR="00E57575" w:rsidRDefault="00E57575" w:rsidP="00E57575">
      <w:pPr>
        <w:pStyle w:val="a3"/>
        <w:shd w:val="clear" w:color="auto" w:fill="FFFFFF"/>
        <w:spacing w:before="0" w:beforeAutospacing="0" w:after="0" w:afterAutospacing="0"/>
        <w:jc w:val="center"/>
        <w:rPr>
          <w:rFonts w:ascii="PingFangSC-light" w:hAnsi="PingFangSC-light"/>
          <w:color w:val="000000"/>
          <w:sz w:val="26"/>
          <w:szCs w:val="26"/>
        </w:rPr>
      </w:pPr>
      <w:r>
        <w:rPr>
          <w:rFonts w:ascii="PingFangSC-light" w:hAnsi="PingFangSC-light"/>
          <w:color w:val="1462FB"/>
          <w:sz w:val="26"/>
          <w:szCs w:val="26"/>
        </w:rPr>
        <w:t>发改办法规〔</w:t>
      </w:r>
      <w:r>
        <w:rPr>
          <w:rFonts w:ascii="PingFangSC-light" w:hAnsi="PingFangSC-light"/>
          <w:color w:val="1462FB"/>
          <w:sz w:val="26"/>
          <w:szCs w:val="26"/>
        </w:rPr>
        <w:t>2020</w:t>
      </w:r>
      <w:r>
        <w:rPr>
          <w:rFonts w:ascii="PingFangSC-light" w:hAnsi="PingFangSC-light"/>
          <w:color w:val="1462FB"/>
          <w:sz w:val="26"/>
          <w:szCs w:val="26"/>
        </w:rPr>
        <w:t>〕</w:t>
      </w:r>
      <w:r>
        <w:rPr>
          <w:rFonts w:ascii="PingFangSC-light" w:hAnsi="PingFangSC-light"/>
          <w:color w:val="1462FB"/>
          <w:sz w:val="26"/>
          <w:szCs w:val="26"/>
        </w:rPr>
        <w:t>770</w:t>
      </w:r>
      <w:r>
        <w:rPr>
          <w:rFonts w:ascii="PingFangSC-light" w:hAnsi="PingFangSC-light"/>
          <w:color w:val="1462FB"/>
          <w:sz w:val="26"/>
          <w:szCs w:val="26"/>
        </w:rPr>
        <w:t>号</w:t>
      </w:r>
    </w:p>
    <w:p w:rsidR="00E57575" w:rsidRDefault="00E57575" w:rsidP="00E57575">
      <w:pPr>
        <w:pStyle w:val="a3"/>
        <w:shd w:val="clear" w:color="auto" w:fill="FFFFFF"/>
        <w:spacing w:before="0" w:beforeAutospacing="0" w:after="0" w:afterAutospacing="0"/>
        <w:jc w:val="both"/>
        <w:rPr>
          <w:rFonts w:ascii="PingFangSC-light" w:hAnsi="PingFangSC-light"/>
          <w:color w:val="000000"/>
          <w:sz w:val="26"/>
          <w:szCs w:val="26"/>
        </w:rPr>
      </w:pPr>
    </w:p>
    <w:p w:rsidR="00E57575" w:rsidRDefault="00E57575" w:rsidP="00E57575">
      <w:pPr>
        <w:pStyle w:val="a3"/>
        <w:shd w:val="clear" w:color="auto" w:fill="FFFFFF"/>
        <w:spacing w:before="0" w:beforeAutospacing="0" w:after="0" w:afterAutospacing="0"/>
        <w:jc w:val="both"/>
        <w:rPr>
          <w:rFonts w:ascii="PingFangSC-light" w:hAnsi="PingFangSC-light"/>
          <w:color w:val="000000"/>
          <w:sz w:val="26"/>
          <w:szCs w:val="26"/>
        </w:rPr>
      </w:pPr>
      <w:r>
        <w:rPr>
          <w:rFonts w:ascii="PingFangSC-light" w:hAnsi="PingFangSC-light"/>
          <w:color w:val="333333"/>
          <w:sz w:val="26"/>
          <w:szCs w:val="26"/>
        </w:rPr>
        <w:t>各省、自治区、直辖市、新疆生产建设兵团发展改革委、公共资源交易平台整合牵头部门：</w:t>
      </w:r>
    </w:p>
    <w:p w:rsidR="00E57575" w:rsidRDefault="00E57575" w:rsidP="00E57575">
      <w:pPr>
        <w:pStyle w:val="a3"/>
        <w:shd w:val="clear" w:color="auto" w:fill="FFFFFF"/>
        <w:spacing w:before="0" w:beforeAutospacing="0" w:after="0" w:afterAutospacing="0"/>
        <w:jc w:val="both"/>
        <w:rPr>
          <w:rFonts w:ascii="PingFangSC-light" w:hAnsi="PingFangSC-light"/>
          <w:color w:val="000000"/>
          <w:sz w:val="26"/>
          <w:szCs w:val="26"/>
        </w:rPr>
      </w:pPr>
      <w:r>
        <w:rPr>
          <w:rFonts w:ascii="PingFangSC-light" w:hAnsi="PingFangSC-light"/>
          <w:color w:val="333333"/>
          <w:sz w:val="26"/>
          <w:szCs w:val="26"/>
        </w:rPr>
        <w:t>为加强政策指导，进一步做好《必须招标的工程项目规定》（国家发展改革委</w:t>
      </w:r>
      <w:r>
        <w:rPr>
          <w:rFonts w:ascii="PingFangSC-light" w:hAnsi="PingFangSC-light"/>
          <w:color w:val="333333"/>
          <w:sz w:val="26"/>
          <w:szCs w:val="26"/>
        </w:rPr>
        <w:t>2018</w:t>
      </w:r>
      <w:r>
        <w:rPr>
          <w:rFonts w:ascii="PingFangSC-light" w:hAnsi="PingFangSC-light"/>
          <w:color w:val="333333"/>
          <w:sz w:val="26"/>
          <w:szCs w:val="26"/>
        </w:rPr>
        <w:t>年第</w:t>
      </w:r>
      <w:r>
        <w:rPr>
          <w:rFonts w:ascii="PingFangSC-light" w:hAnsi="PingFangSC-light"/>
          <w:color w:val="333333"/>
          <w:sz w:val="26"/>
          <w:szCs w:val="26"/>
        </w:rPr>
        <w:t>16</w:t>
      </w:r>
      <w:r>
        <w:rPr>
          <w:rFonts w:ascii="PingFangSC-light" w:hAnsi="PingFangSC-light"/>
          <w:color w:val="333333"/>
          <w:sz w:val="26"/>
          <w:szCs w:val="26"/>
        </w:rPr>
        <w:t>号令，以下简称</w:t>
      </w:r>
      <w:r>
        <w:rPr>
          <w:rFonts w:ascii="PingFangSC-light" w:hAnsi="PingFangSC-light"/>
          <w:color w:val="333333"/>
          <w:sz w:val="26"/>
          <w:szCs w:val="26"/>
        </w:rPr>
        <w:t>“16</w:t>
      </w:r>
      <w:r>
        <w:rPr>
          <w:rFonts w:ascii="PingFangSC-light" w:hAnsi="PingFangSC-light"/>
          <w:color w:val="333333"/>
          <w:sz w:val="26"/>
          <w:szCs w:val="26"/>
        </w:rPr>
        <w:t>号令</w:t>
      </w:r>
      <w:r>
        <w:rPr>
          <w:rFonts w:ascii="PingFangSC-light" w:hAnsi="PingFangSC-light"/>
          <w:color w:val="333333"/>
          <w:sz w:val="26"/>
          <w:szCs w:val="26"/>
        </w:rPr>
        <w:t>”</w:t>
      </w:r>
      <w:r>
        <w:rPr>
          <w:rFonts w:ascii="PingFangSC-light" w:hAnsi="PingFangSC-light"/>
          <w:color w:val="333333"/>
          <w:sz w:val="26"/>
          <w:szCs w:val="26"/>
        </w:rPr>
        <w:t>）和《必须招标的基础设施和公用事业项目范围规定》（</w:t>
      </w:r>
      <w:proofErr w:type="gramStart"/>
      <w:r>
        <w:rPr>
          <w:rFonts w:ascii="PingFangSC-light" w:hAnsi="PingFangSC-light"/>
          <w:color w:val="333333"/>
          <w:sz w:val="26"/>
          <w:szCs w:val="26"/>
        </w:rPr>
        <w:t>发改法规规</w:t>
      </w:r>
      <w:proofErr w:type="gramEnd"/>
      <w:r>
        <w:rPr>
          <w:rFonts w:ascii="PingFangSC-light" w:hAnsi="PingFangSC-light"/>
          <w:color w:val="333333"/>
          <w:sz w:val="26"/>
          <w:szCs w:val="26"/>
        </w:rPr>
        <w:t>〔</w:t>
      </w:r>
      <w:r>
        <w:rPr>
          <w:rFonts w:ascii="PingFangSC-light" w:hAnsi="PingFangSC-light"/>
          <w:color w:val="333333"/>
          <w:sz w:val="26"/>
          <w:szCs w:val="26"/>
        </w:rPr>
        <w:t>2018</w:t>
      </w:r>
      <w:r>
        <w:rPr>
          <w:rFonts w:ascii="PingFangSC-light" w:hAnsi="PingFangSC-light"/>
          <w:color w:val="333333"/>
          <w:sz w:val="26"/>
          <w:szCs w:val="26"/>
        </w:rPr>
        <w:t>〕</w:t>
      </w:r>
      <w:r>
        <w:rPr>
          <w:rFonts w:ascii="PingFangSC-light" w:hAnsi="PingFangSC-light"/>
          <w:color w:val="333333"/>
          <w:sz w:val="26"/>
          <w:szCs w:val="26"/>
        </w:rPr>
        <w:t>843</w:t>
      </w:r>
      <w:r>
        <w:rPr>
          <w:rFonts w:ascii="PingFangSC-light" w:hAnsi="PingFangSC-light"/>
          <w:color w:val="333333"/>
          <w:sz w:val="26"/>
          <w:szCs w:val="26"/>
        </w:rPr>
        <w:t>号，以下简称</w:t>
      </w:r>
      <w:r>
        <w:rPr>
          <w:rFonts w:ascii="PingFangSC-light" w:hAnsi="PingFangSC-light"/>
          <w:color w:val="333333"/>
          <w:sz w:val="26"/>
          <w:szCs w:val="26"/>
        </w:rPr>
        <w:t>“843</w:t>
      </w:r>
      <w:r>
        <w:rPr>
          <w:rFonts w:ascii="PingFangSC-light" w:hAnsi="PingFangSC-light"/>
          <w:color w:val="333333"/>
          <w:sz w:val="26"/>
          <w:szCs w:val="26"/>
        </w:rPr>
        <w:t>号文</w:t>
      </w:r>
      <w:r>
        <w:rPr>
          <w:rFonts w:ascii="PingFangSC-light" w:hAnsi="PingFangSC-light"/>
          <w:color w:val="333333"/>
          <w:sz w:val="26"/>
          <w:szCs w:val="26"/>
        </w:rPr>
        <w:t>”</w:t>
      </w:r>
      <w:r>
        <w:rPr>
          <w:rFonts w:ascii="PingFangSC-light" w:hAnsi="PingFangSC-light"/>
          <w:color w:val="333333"/>
          <w:sz w:val="26"/>
          <w:szCs w:val="26"/>
        </w:rPr>
        <w:t>）实施工作，现就有关事项通知如下</w:t>
      </w:r>
      <w:r>
        <w:rPr>
          <w:rFonts w:ascii="PingFangSC-light" w:hAnsi="PingFangSC-light"/>
          <w:color w:val="333333"/>
          <w:sz w:val="26"/>
          <w:szCs w:val="26"/>
        </w:rPr>
        <w:t>:</w:t>
      </w:r>
    </w:p>
    <w:p w:rsidR="00E57575" w:rsidRDefault="00E57575" w:rsidP="00E57575">
      <w:pPr>
        <w:pStyle w:val="a3"/>
        <w:shd w:val="clear" w:color="auto" w:fill="FFFFFF"/>
        <w:spacing w:before="0" w:beforeAutospacing="0" w:after="0" w:afterAutospacing="0"/>
        <w:jc w:val="both"/>
        <w:rPr>
          <w:rFonts w:ascii="PingFangSC-light" w:hAnsi="PingFangSC-light"/>
          <w:color w:val="000000"/>
          <w:sz w:val="26"/>
          <w:szCs w:val="26"/>
        </w:rPr>
      </w:pPr>
    </w:p>
    <w:p w:rsidR="00E57575" w:rsidRDefault="00E57575" w:rsidP="00E57575">
      <w:pPr>
        <w:pStyle w:val="a3"/>
        <w:shd w:val="clear" w:color="auto" w:fill="FFFFFF"/>
        <w:spacing w:before="0" w:beforeAutospacing="0" w:after="0" w:afterAutospacing="0"/>
        <w:jc w:val="both"/>
        <w:rPr>
          <w:rFonts w:ascii="PingFangSC-light" w:hAnsi="PingFangSC-light"/>
          <w:color w:val="000000"/>
          <w:sz w:val="26"/>
          <w:szCs w:val="26"/>
        </w:rPr>
      </w:pPr>
      <w:r>
        <w:rPr>
          <w:rFonts w:ascii="PingFangSC-light" w:hAnsi="PingFangSC-light"/>
          <w:b/>
          <w:bCs/>
          <w:color w:val="333333"/>
          <w:sz w:val="26"/>
          <w:szCs w:val="26"/>
        </w:rPr>
        <w:t>一、准确理解依法必须招标的工程建设项目范围</w:t>
      </w:r>
    </w:p>
    <w:p w:rsidR="00E57575" w:rsidRDefault="00E57575" w:rsidP="00E57575">
      <w:pPr>
        <w:pStyle w:val="a3"/>
        <w:shd w:val="clear" w:color="auto" w:fill="FFFFFF"/>
        <w:spacing w:before="0" w:beforeAutospacing="0" w:after="0" w:afterAutospacing="0"/>
        <w:jc w:val="both"/>
        <w:rPr>
          <w:rFonts w:ascii="PingFangSC-light" w:hAnsi="PingFangSC-light"/>
          <w:color w:val="000000"/>
          <w:sz w:val="26"/>
          <w:szCs w:val="26"/>
        </w:rPr>
      </w:pPr>
    </w:p>
    <w:p w:rsidR="00E57575" w:rsidRDefault="00E57575" w:rsidP="00E57575">
      <w:pPr>
        <w:pStyle w:val="a3"/>
        <w:shd w:val="clear" w:color="auto" w:fill="FFFFFF"/>
        <w:spacing w:before="0" w:beforeAutospacing="0" w:after="0" w:afterAutospacing="0"/>
        <w:jc w:val="both"/>
        <w:rPr>
          <w:rFonts w:ascii="PingFangSC-light" w:hAnsi="PingFangSC-light"/>
          <w:color w:val="000000"/>
          <w:sz w:val="26"/>
          <w:szCs w:val="26"/>
        </w:rPr>
      </w:pPr>
      <w:r>
        <w:rPr>
          <w:rFonts w:ascii="PingFangSC-light" w:hAnsi="PingFangSC-light"/>
          <w:b/>
          <w:bCs/>
          <w:color w:val="B04FBB"/>
          <w:sz w:val="26"/>
          <w:szCs w:val="26"/>
        </w:rPr>
        <w:t>（一）关于使用国有资金的项目。</w:t>
      </w:r>
      <w:r>
        <w:rPr>
          <w:rFonts w:ascii="PingFangSC-light" w:hAnsi="PingFangSC-light"/>
          <w:color w:val="333333"/>
          <w:sz w:val="26"/>
          <w:szCs w:val="26"/>
        </w:rPr>
        <w:t>16</w:t>
      </w:r>
      <w:r>
        <w:rPr>
          <w:rFonts w:ascii="PingFangSC-light" w:hAnsi="PingFangSC-light"/>
          <w:color w:val="333333"/>
          <w:sz w:val="26"/>
          <w:szCs w:val="26"/>
        </w:rPr>
        <w:t>号令第二条第（一）项中</w:t>
      </w:r>
      <w:r>
        <w:rPr>
          <w:rFonts w:ascii="PingFangSC-light" w:hAnsi="PingFangSC-light"/>
          <w:color w:val="333333"/>
          <w:sz w:val="26"/>
          <w:szCs w:val="26"/>
        </w:rPr>
        <w:t>“</w:t>
      </w:r>
      <w:r>
        <w:rPr>
          <w:rFonts w:ascii="PingFangSC-light" w:hAnsi="PingFangSC-light"/>
          <w:color w:val="333333"/>
          <w:sz w:val="26"/>
          <w:szCs w:val="26"/>
        </w:rPr>
        <w:t>预算资金</w:t>
      </w:r>
      <w:r>
        <w:rPr>
          <w:rFonts w:ascii="PingFangSC-light" w:hAnsi="PingFangSC-light"/>
          <w:color w:val="333333"/>
          <w:sz w:val="26"/>
          <w:szCs w:val="26"/>
        </w:rPr>
        <w:t>”</w:t>
      </w:r>
      <w:r>
        <w:rPr>
          <w:rFonts w:ascii="PingFangSC-light" w:hAnsi="PingFangSC-light"/>
          <w:color w:val="333333"/>
          <w:sz w:val="26"/>
          <w:szCs w:val="26"/>
        </w:rPr>
        <w:t>，是指《预算法》规定的预算资金，包括一般公共预算资金、政府性基金预算资金、国有资本经营预算资金、社会保险基金预算资金。第（二）项中</w:t>
      </w:r>
      <w:r>
        <w:rPr>
          <w:rFonts w:ascii="PingFangSC-light" w:hAnsi="PingFangSC-light"/>
          <w:color w:val="333333"/>
          <w:sz w:val="26"/>
          <w:szCs w:val="26"/>
        </w:rPr>
        <w:t>“</w:t>
      </w:r>
      <w:r>
        <w:rPr>
          <w:rFonts w:ascii="PingFangSC-light" w:hAnsi="PingFangSC-light"/>
          <w:color w:val="333333"/>
          <w:sz w:val="26"/>
          <w:szCs w:val="26"/>
        </w:rPr>
        <w:t>占控股或者主导地位</w:t>
      </w:r>
      <w:r>
        <w:rPr>
          <w:rFonts w:ascii="PingFangSC-light" w:hAnsi="PingFangSC-light"/>
          <w:color w:val="333333"/>
          <w:sz w:val="26"/>
          <w:szCs w:val="26"/>
        </w:rPr>
        <w:t>”</w:t>
      </w:r>
      <w:r>
        <w:rPr>
          <w:rFonts w:ascii="PingFangSC-light" w:hAnsi="PingFangSC-light"/>
          <w:color w:val="333333"/>
          <w:sz w:val="26"/>
          <w:szCs w:val="26"/>
        </w:rPr>
        <w:t>，参照《公司法》第二百一十六条关于控股股东和实际控制人的理解执行，即</w:t>
      </w:r>
      <w:r>
        <w:rPr>
          <w:rFonts w:ascii="PingFangSC-light" w:hAnsi="PingFangSC-light"/>
          <w:color w:val="333333"/>
          <w:sz w:val="26"/>
          <w:szCs w:val="26"/>
        </w:rPr>
        <w:t>“</w:t>
      </w:r>
      <w:r>
        <w:rPr>
          <w:rFonts w:ascii="PingFangSC-light" w:hAnsi="PingFangSC-light"/>
          <w:color w:val="333333"/>
          <w:sz w:val="26"/>
          <w:szCs w:val="26"/>
        </w:rPr>
        <w:t>其出资额占有限责任公司资本总额百分之五十以上或者其持有的股份占股份有限公司股本总额百分之五十以上的股东；出资额或者持有股份的比例虽然不足百分之五十，但依其出资额或者持有的股份所享有的表决权已足以对股东会、股东大会的决议产生重大影响的股东</w:t>
      </w:r>
      <w:r>
        <w:rPr>
          <w:rFonts w:ascii="PingFangSC-light" w:hAnsi="PingFangSC-light"/>
          <w:color w:val="333333"/>
          <w:sz w:val="26"/>
          <w:szCs w:val="26"/>
        </w:rPr>
        <w:t>”</w:t>
      </w:r>
      <w:r>
        <w:rPr>
          <w:rFonts w:ascii="PingFangSC-light" w:hAnsi="PingFangSC-light"/>
          <w:color w:val="333333"/>
          <w:sz w:val="26"/>
          <w:szCs w:val="26"/>
        </w:rPr>
        <w:t>；国有企业事业单位通过投资关系、协议或者其他安排，能够实际支</w:t>
      </w:r>
      <w:r>
        <w:rPr>
          <w:rFonts w:ascii="PingFangSC-light" w:hAnsi="PingFangSC-light"/>
          <w:color w:val="333333"/>
          <w:sz w:val="26"/>
          <w:szCs w:val="26"/>
        </w:rPr>
        <w:lastRenderedPageBreak/>
        <w:t>配项目建设的，也属于占控股或者主导地位。项目中国有资金的比例，应当按照项目资金来源中所有国有资金之和计算。</w:t>
      </w:r>
    </w:p>
    <w:p w:rsidR="00E57575" w:rsidRDefault="00E57575" w:rsidP="00E57575">
      <w:pPr>
        <w:pStyle w:val="a3"/>
        <w:shd w:val="clear" w:color="auto" w:fill="FFFFFF"/>
        <w:spacing w:before="0" w:beforeAutospacing="0" w:after="0" w:afterAutospacing="0"/>
        <w:jc w:val="both"/>
        <w:rPr>
          <w:rFonts w:ascii="PingFangSC-light" w:hAnsi="PingFangSC-light"/>
          <w:color w:val="000000"/>
          <w:sz w:val="26"/>
          <w:szCs w:val="26"/>
        </w:rPr>
      </w:pPr>
    </w:p>
    <w:p w:rsidR="00E57575" w:rsidRDefault="00E57575" w:rsidP="00E57575">
      <w:pPr>
        <w:pStyle w:val="a3"/>
        <w:shd w:val="clear" w:color="auto" w:fill="FFFFFF"/>
        <w:spacing w:before="0" w:beforeAutospacing="0" w:after="0" w:afterAutospacing="0"/>
        <w:jc w:val="both"/>
        <w:rPr>
          <w:rFonts w:ascii="PingFangSC-light" w:hAnsi="PingFangSC-light"/>
          <w:color w:val="000000"/>
          <w:sz w:val="26"/>
          <w:szCs w:val="26"/>
        </w:rPr>
      </w:pPr>
      <w:r>
        <w:rPr>
          <w:rFonts w:ascii="PingFangSC-light" w:hAnsi="PingFangSC-light"/>
          <w:b/>
          <w:bCs/>
          <w:color w:val="B04FBB"/>
          <w:sz w:val="26"/>
          <w:szCs w:val="26"/>
        </w:rPr>
        <w:t>（二）关于项目与单项采购的关系。</w:t>
      </w:r>
      <w:r>
        <w:rPr>
          <w:rFonts w:ascii="PingFangSC-light" w:hAnsi="PingFangSC-light"/>
          <w:color w:val="333333"/>
          <w:sz w:val="26"/>
          <w:szCs w:val="26"/>
        </w:rPr>
        <w:t>16</w:t>
      </w:r>
      <w:r>
        <w:rPr>
          <w:rFonts w:ascii="PingFangSC-light" w:hAnsi="PingFangSC-light"/>
          <w:color w:val="333333"/>
          <w:sz w:val="26"/>
          <w:szCs w:val="26"/>
        </w:rPr>
        <w:t>号令第二条至第四条及</w:t>
      </w:r>
      <w:r>
        <w:rPr>
          <w:rFonts w:ascii="PingFangSC-light" w:hAnsi="PingFangSC-light"/>
          <w:color w:val="333333"/>
          <w:sz w:val="26"/>
          <w:szCs w:val="26"/>
        </w:rPr>
        <w:t>843</w:t>
      </w:r>
      <w:r>
        <w:rPr>
          <w:rFonts w:ascii="PingFangSC-light" w:hAnsi="PingFangSC-light"/>
          <w:color w:val="333333"/>
          <w:sz w:val="26"/>
          <w:szCs w:val="26"/>
        </w:rPr>
        <w:t>号文第二条规定范围的项目，其勘察、设计、施工、监理以及与工程建设有关的重要设备、材料等的单项采购分别达到</w:t>
      </w:r>
      <w:r>
        <w:rPr>
          <w:rFonts w:ascii="PingFangSC-light" w:hAnsi="PingFangSC-light"/>
          <w:color w:val="333333"/>
          <w:sz w:val="26"/>
          <w:szCs w:val="26"/>
        </w:rPr>
        <w:t>16</w:t>
      </w:r>
      <w:r>
        <w:rPr>
          <w:rFonts w:ascii="PingFangSC-light" w:hAnsi="PingFangSC-light"/>
          <w:color w:val="333333"/>
          <w:sz w:val="26"/>
          <w:szCs w:val="26"/>
        </w:rPr>
        <w:t>号令第五条规定的相应单项合同价估算标准的，该单项采购必须招标；该项目中未达到前述相应标准的单项采购，不属于</w:t>
      </w:r>
      <w:r>
        <w:rPr>
          <w:rFonts w:ascii="PingFangSC-light" w:hAnsi="PingFangSC-light"/>
          <w:color w:val="333333"/>
          <w:sz w:val="26"/>
          <w:szCs w:val="26"/>
        </w:rPr>
        <w:t>16</w:t>
      </w:r>
      <w:r>
        <w:rPr>
          <w:rFonts w:ascii="PingFangSC-light" w:hAnsi="PingFangSC-light"/>
          <w:color w:val="333333"/>
          <w:sz w:val="26"/>
          <w:szCs w:val="26"/>
        </w:rPr>
        <w:t>号令规定的必须招标范畴。</w:t>
      </w:r>
    </w:p>
    <w:p w:rsidR="00E57575" w:rsidRDefault="00E57575" w:rsidP="00E57575">
      <w:pPr>
        <w:pStyle w:val="a3"/>
        <w:shd w:val="clear" w:color="auto" w:fill="FFFFFF"/>
        <w:spacing w:before="0" w:beforeAutospacing="0" w:after="0" w:afterAutospacing="0"/>
        <w:jc w:val="both"/>
        <w:rPr>
          <w:rFonts w:ascii="PingFangSC-light" w:hAnsi="PingFangSC-light"/>
          <w:color w:val="000000"/>
          <w:sz w:val="26"/>
          <w:szCs w:val="26"/>
        </w:rPr>
      </w:pPr>
    </w:p>
    <w:p w:rsidR="00E57575" w:rsidRDefault="00E57575" w:rsidP="00E57575">
      <w:pPr>
        <w:pStyle w:val="a3"/>
        <w:shd w:val="clear" w:color="auto" w:fill="FFFFFF"/>
        <w:spacing w:before="0" w:beforeAutospacing="0" w:after="0" w:afterAutospacing="0"/>
        <w:jc w:val="both"/>
        <w:rPr>
          <w:rFonts w:ascii="PingFangSC-light" w:hAnsi="PingFangSC-light"/>
          <w:color w:val="000000"/>
          <w:sz w:val="26"/>
          <w:szCs w:val="26"/>
        </w:rPr>
      </w:pPr>
      <w:r>
        <w:rPr>
          <w:rFonts w:ascii="PingFangSC-light" w:hAnsi="PingFangSC-light"/>
          <w:b/>
          <w:bCs/>
          <w:color w:val="B04FBB"/>
          <w:sz w:val="26"/>
          <w:szCs w:val="26"/>
        </w:rPr>
        <w:t>（三）关于招标范围列举事项。</w:t>
      </w:r>
      <w:r>
        <w:rPr>
          <w:rFonts w:ascii="PingFangSC-light" w:hAnsi="PingFangSC-light"/>
          <w:color w:val="333333"/>
          <w:sz w:val="26"/>
          <w:szCs w:val="26"/>
        </w:rPr>
        <w:t>依法必须招标的工程建设项目范围和规模标准，应当严格执行《招标投标法》第三条和</w:t>
      </w:r>
      <w:r>
        <w:rPr>
          <w:rFonts w:ascii="PingFangSC-light" w:hAnsi="PingFangSC-light"/>
          <w:color w:val="333333"/>
          <w:sz w:val="26"/>
          <w:szCs w:val="26"/>
        </w:rPr>
        <w:t>16</w:t>
      </w:r>
      <w:r>
        <w:rPr>
          <w:rFonts w:ascii="PingFangSC-light" w:hAnsi="PingFangSC-light"/>
          <w:color w:val="333333"/>
          <w:sz w:val="26"/>
          <w:szCs w:val="26"/>
        </w:rPr>
        <w:t>号令、</w:t>
      </w:r>
      <w:r>
        <w:rPr>
          <w:rFonts w:ascii="PingFangSC-light" w:hAnsi="PingFangSC-light"/>
          <w:color w:val="333333"/>
          <w:sz w:val="26"/>
          <w:szCs w:val="26"/>
        </w:rPr>
        <w:t>843</w:t>
      </w:r>
      <w:r>
        <w:rPr>
          <w:rFonts w:ascii="PingFangSC-light" w:hAnsi="PingFangSC-light"/>
          <w:color w:val="333333"/>
          <w:sz w:val="26"/>
          <w:szCs w:val="26"/>
        </w:rPr>
        <w:t>号文规定；法律、行政法规或者国务院对必须进行招标的其他项目范围有规定的，依照其规定。没有法律、行政法规或者国务院规定依据的，对</w:t>
      </w:r>
      <w:r>
        <w:rPr>
          <w:rFonts w:ascii="PingFangSC-light" w:hAnsi="PingFangSC-light"/>
          <w:color w:val="333333"/>
          <w:sz w:val="26"/>
          <w:szCs w:val="26"/>
        </w:rPr>
        <w:t>16</w:t>
      </w:r>
      <w:r>
        <w:rPr>
          <w:rFonts w:ascii="PingFangSC-light" w:hAnsi="PingFangSC-light"/>
          <w:color w:val="333333"/>
          <w:sz w:val="26"/>
          <w:szCs w:val="26"/>
        </w:rPr>
        <w:t>号令第五条第一款第（三）项中没有明确列举规定的服务事项、</w:t>
      </w:r>
      <w:r>
        <w:rPr>
          <w:rFonts w:ascii="PingFangSC-light" w:hAnsi="PingFangSC-light"/>
          <w:color w:val="333333"/>
          <w:sz w:val="26"/>
          <w:szCs w:val="26"/>
        </w:rPr>
        <w:t>843</w:t>
      </w:r>
      <w:r>
        <w:rPr>
          <w:rFonts w:ascii="PingFangSC-light" w:hAnsi="PingFangSC-light"/>
          <w:color w:val="333333"/>
          <w:sz w:val="26"/>
          <w:szCs w:val="26"/>
        </w:rPr>
        <w:t>号文第二条中没有明确列举规定的项目，不得强制要求招标。</w:t>
      </w:r>
    </w:p>
    <w:p w:rsidR="00E57575" w:rsidRDefault="00E57575" w:rsidP="00E57575">
      <w:pPr>
        <w:pStyle w:val="a3"/>
        <w:shd w:val="clear" w:color="auto" w:fill="FFFFFF"/>
        <w:spacing w:before="0" w:beforeAutospacing="0" w:after="0" w:afterAutospacing="0"/>
        <w:jc w:val="both"/>
        <w:rPr>
          <w:rFonts w:ascii="PingFangSC-light" w:hAnsi="PingFangSC-light"/>
          <w:color w:val="000000"/>
          <w:sz w:val="26"/>
          <w:szCs w:val="26"/>
        </w:rPr>
      </w:pPr>
    </w:p>
    <w:p w:rsidR="00E57575" w:rsidRDefault="00E57575" w:rsidP="00E57575">
      <w:pPr>
        <w:pStyle w:val="a3"/>
        <w:shd w:val="clear" w:color="auto" w:fill="FFFFFF"/>
        <w:spacing w:before="0" w:beforeAutospacing="0" w:after="0" w:afterAutospacing="0"/>
        <w:jc w:val="both"/>
        <w:rPr>
          <w:rFonts w:ascii="PingFangSC-light" w:hAnsi="PingFangSC-light"/>
          <w:color w:val="000000"/>
          <w:sz w:val="26"/>
          <w:szCs w:val="26"/>
        </w:rPr>
      </w:pPr>
      <w:r>
        <w:rPr>
          <w:rFonts w:ascii="PingFangSC-light" w:hAnsi="PingFangSC-light"/>
          <w:b/>
          <w:bCs/>
          <w:color w:val="B04FBB"/>
          <w:sz w:val="26"/>
          <w:szCs w:val="26"/>
        </w:rPr>
        <w:t>（四）关于同一项目中的合并采购。</w:t>
      </w:r>
      <w:r>
        <w:rPr>
          <w:rFonts w:ascii="PingFangSC-light" w:hAnsi="PingFangSC-light"/>
          <w:color w:val="333333"/>
          <w:sz w:val="26"/>
          <w:szCs w:val="26"/>
        </w:rPr>
        <w:t>16</w:t>
      </w:r>
      <w:r>
        <w:rPr>
          <w:rFonts w:ascii="PingFangSC-light" w:hAnsi="PingFangSC-light"/>
          <w:color w:val="333333"/>
          <w:sz w:val="26"/>
          <w:szCs w:val="26"/>
        </w:rPr>
        <w:t>号令第五条规定的</w:t>
      </w:r>
      <w:r>
        <w:rPr>
          <w:rFonts w:ascii="PingFangSC-light" w:hAnsi="PingFangSC-light"/>
          <w:color w:val="333333"/>
          <w:sz w:val="26"/>
          <w:szCs w:val="26"/>
        </w:rPr>
        <w:t>“</w:t>
      </w:r>
      <w:r>
        <w:rPr>
          <w:rFonts w:ascii="PingFangSC-light" w:hAnsi="PingFangSC-light"/>
          <w:color w:val="333333"/>
          <w:sz w:val="26"/>
          <w:szCs w:val="26"/>
        </w:rPr>
        <w:t>同一项目中可以合并进行的勘察、设计、施工、监理以及与工程建设有关的重要设备、材料等的采购，合同估算价合计达到前款规定标准的，必须招标</w:t>
      </w:r>
      <w:r>
        <w:rPr>
          <w:rFonts w:ascii="PingFangSC-light" w:hAnsi="PingFangSC-light"/>
          <w:color w:val="333333"/>
          <w:sz w:val="26"/>
          <w:szCs w:val="26"/>
        </w:rPr>
        <w:t>”</w:t>
      </w:r>
      <w:r>
        <w:rPr>
          <w:rFonts w:ascii="PingFangSC-light" w:hAnsi="PingFangSC-light"/>
          <w:color w:val="333333"/>
          <w:sz w:val="26"/>
          <w:szCs w:val="26"/>
        </w:rPr>
        <w:t>，目的是防止发包方通过化整为零方式规避招标。其中</w:t>
      </w:r>
      <w:r>
        <w:rPr>
          <w:rFonts w:ascii="PingFangSC-light" w:hAnsi="PingFangSC-light"/>
          <w:color w:val="333333"/>
          <w:sz w:val="26"/>
          <w:szCs w:val="26"/>
        </w:rPr>
        <w:t>“</w:t>
      </w:r>
      <w:r>
        <w:rPr>
          <w:rFonts w:ascii="PingFangSC-light" w:hAnsi="PingFangSC-light"/>
          <w:color w:val="333333"/>
          <w:sz w:val="26"/>
          <w:szCs w:val="26"/>
        </w:rPr>
        <w:t>同一项目中可以合并进行</w:t>
      </w:r>
      <w:r>
        <w:rPr>
          <w:rFonts w:ascii="PingFangSC-light" w:hAnsi="PingFangSC-light"/>
          <w:color w:val="333333"/>
          <w:sz w:val="26"/>
          <w:szCs w:val="26"/>
        </w:rPr>
        <w:t>”</w:t>
      </w:r>
      <w:r>
        <w:rPr>
          <w:rFonts w:ascii="PingFangSC-light" w:hAnsi="PingFangSC-light"/>
          <w:color w:val="333333"/>
          <w:sz w:val="26"/>
          <w:szCs w:val="26"/>
        </w:rPr>
        <w:t>，是指根据项目实际，以及行业标准或行业惯例，符合科学性、经济性、可操作性要求，同一项目中适宜放在一起进行采购的同类采购项目。</w:t>
      </w:r>
    </w:p>
    <w:p w:rsidR="00E57575" w:rsidRDefault="00E57575" w:rsidP="00E57575">
      <w:pPr>
        <w:pStyle w:val="a3"/>
        <w:shd w:val="clear" w:color="auto" w:fill="FFFFFF"/>
        <w:spacing w:before="0" w:beforeAutospacing="0" w:after="0" w:afterAutospacing="0"/>
        <w:jc w:val="both"/>
        <w:rPr>
          <w:rFonts w:ascii="PingFangSC-light" w:hAnsi="PingFangSC-light"/>
          <w:color w:val="000000"/>
          <w:sz w:val="26"/>
          <w:szCs w:val="26"/>
        </w:rPr>
      </w:pPr>
    </w:p>
    <w:p w:rsidR="00E57575" w:rsidRDefault="00E57575" w:rsidP="00E57575">
      <w:pPr>
        <w:pStyle w:val="a3"/>
        <w:shd w:val="clear" w:color="auto" w:fill="FFFFFF"/>
        <w:spacing w:before="0" w:beforeAutospacing="0" w:after="0" w:afterAutospacing="0"/>
        <w:jc w:val="both"/>
        <w:rPr>
          <w:rFonts w:ascii="PingFangSC-light" w:hAnsi="PingFangSC-light"/>
          <w:color w:val="000000"/>
          <w:sz w:val="26"/>
          <w:szCs w:val="26"/>
        </w:rPr>
      </w:pPr>
      <w:r>
        <w:rPr>
          <w:rFonts w:ascii="PingFangSC-light" w:hAnsi="PingFangSC-light"/>
          <w:b/>
          <w:bCs/>
          <w:color w:val="B04FBB"/>
          <w:sz w:val="26"/>
          <w:szCs w:val="26"/>
        </w:rPr>
        <w:lastRenderedPageBreak/>
        <w:t>（五）关于总承包招标的规模标准。</w:t>
      </w:r>
      <w:r>
        <w:rPr>
          <w:rFonts w:ascii="PingFangSC-light" w:hAnsi="PingFangSC-light"/>
          <w:color w:val="333333"/>
          <w:sz w:val="26"/>
          <w:szCs w:val="26"/>
        </w:rPr>
        <w:t>对于</w:t>
      </w:r>
      <w:r>
        <w:rPr>
          <w:rFonts w:ascii="PingFangSC-light" w:hAnsi="PingFangSC-light"/>
          <w:color w:val="333333"/>
          <w:sz w:val="26"/>
          <w:szCs w:val="26"/>
        </w:rPr>
        <w:t>16</w:t>
      </w:r>
      <w:r>
        <w:rPr>
          <w:rFonts w:ascii="PingFangSC-light" w:hAnsi="PingFangSC-light"/>
          <w:color w:val="333333"/>
          <w:sz w:val="26"/>
          <w:szCs w:val="26"/>
        </w:rPr>
        <w:t>号令第二条至第四条规定范围内的项目，发包人依法对工程以及与工程建设有关的货物、服务全部或者部分实行总承包发包的，总承包中施工、货物、服务等各部分的估算价中，只要有一项达到</w:t>
      </w:r>
      <w:r>
        <w:rPr>
          <w:rFonts w:ascii="PingFangSC-light" w:hAnsi="PingFangSC-light"/>
          <w:color w:val="333333"/>
          <w:sz w:val="26"/>
          <w:szCs w:val="26"/>
        </w:rPr>
        <w:t>16</w:t>
      </w:r>
      <w:r>
        <w:rPr>
          <w:rFonts w:ascii="PingFangSC-light" w:hAnsi="PingFangSC-light"/>
          <w:color w:val="333333"/>
          <w:sz w:val="26"/>
          <w:szCs w:val="26"/>
        </w:rPr>
        <w:t>号令第五条规定相应标准，</w:t>
      </w:r>
      <w:proofErr w:type="gramStart"/>
      <w:r>
        <w:rPr>
          <w:rFonts w:ascii="PingFangSC-light" w:hAnsi="PingFangSC-light"/>
          <w:color w:val="333333"/>
          <w:sz w:val="26"/>
          <w:szCs w:val="26"/>
        </w:rPr>
        <w:t>即施工</w:t>
      </w:r>
      <w:proofErr w:type="gramEnd"/>
      <w:r>
        <w:rPr>
          <w:rFonts w:ascii="PingFangSC-light" w:hAnsi="PingFangSC-light"/>
          <w:color w:val="333333"/>
          <w:sz w:val="26"/>
          <w:szCs w:val="26"/>
        </w:rPr>
        <w:t>部分估算价达到</w:t>
      </w:r>
      <w:r>
        <w:rPr>
          <w:rFonts w:ascii="PingFangSC-light" w:hAnsi="PingFangSC-light"/>
          <w:color w:val="333333"/>
          <w:sz w:val="26"/>
          <w:szCs w:val="26"/>
        </w:rPr>
        <w:t>400</w:t>
      </w:r>
      <w:r>
        <w:rPr>
          <w:rFonts w:ascii="PingFangSC-light" w:hAnsi="PingFangSC-light"/>
          <w:color w:val="333333"/>
          <w:sz w:val="26"/>
          <w:szCs w:val="26"/>
        </w:rPr>
        <w:t>万元以上，或者货物部分达到</w:t>
      </w:r>
      <w:r>
        <w:rPr>
          <w:rFonts w:ascii="PingFangSC-light" w:hAnsi="PingFangSC-light"/>
          <w:color w:val="333333"/>
          <w:sz w:val="26"/>
          <w:szCs w:val="26"/>
        </w:rPr>
        <w:t>200</w:t>
      </w:r>
      <w:r>
        <w:rPr>
          <w:rFonts w:ascii="PingFangSC-light" w:hAnsi="PingFangSC-light"/>
          <w:color w:val="333333"/>
          <w:sz w:val="26"/>
          <w:szCs w:val="26"/>
        </w:rPr>
        <w:t>万元以上，或者服务部分达到</w:t>
      </w:r>
      <w:r>
        <w:rPr>
          <w:rFonts w:ascii="PingFangSC-light" w:hAnsi="PingFangSC-light"/>
          <w:color w:val="333333"/>
          <w:sz w:val="26"/>
          <w:szCs w:val="26"/>
        </w:rPr>
        <w:t>100</w:t>
      </w:r>
      <w:r>
        <w:rPr>
          <w:rFonts w:ascii="PingFangSC-light" w:hAnsi="PingFangSC-light"/>
          <w:color w:val="333333"/>
          <w:sz w:val="26"/>
          <w:szCs w:val="26"/>
        </w:rPr>
        <w:t>万元以上，则整个总承包发包应当招标。</w:t>
      </w:r>
    </w:p>
    <w:p w:rsidR="00E57575" w:rsidRDefault="00E57575" w:rsidP="00E57575">
      <w:pPr>
        <w:pStyle w:val="a3"/>
        <w:shd w:val="clear" w:color="auto" w:fill="FFFFFF"/>
        <w:spacing w:before="0" w:beforeAutospacing="0" w:after="0" w:afterAutospacing="0"/>
        <w:jc w:val="both"/>
        <w:rPr>
          <w:rFonts w:ascii="PingFangSC-light" w:hAnsi="PingFangSC-light"/>
          <w:color w:val="000000"/>
          <w:sz w:val="26"/>
          <w:szCs w:val="26"/>
        </w:rPr>
      </w:pPr>
    </w:p>
    <w:p w:rsidR="00E57575" w:rsidRDefault="00E57575" w:rsidP="00E57575">
      <w:pPr>
        <w:pStyle w:val="a3"/>
        <w:shd w:val="clear" w:color="auto" w:fill="FFFFFF"/>
        <w:spacing w:before="0" w:beforeAutospacing="0" w:after="0" w:afterAutospacing="0"/>
        <w:jc w:val="both"/>
        <w:rPr>
          <w:rFonts w:ascii="PingFangSC-light" w:hAnsi="PingFangSC-light"/>
          <w:color w:val="000000"/>
          <w:sz w:val="26"/>
          <w:szCs w:val="26"/>
        </w:rPr>
      </w:pPr>
      <w:r>
        <w:rPr>
          <w:rFonts w:ascii="PingFangSC-light" w:hAnsi="PingFangSC-light"/>
          <w:b/>
          <w:bCs/>
          <w:color w:val="333333"/>
          <w:sz w:val="26"/>
          <w:szCs w:val="26"/>
        </w:rPr>
        <w:t>二、规范规模标准以下工程建设项目的采购</w:t>
      </w:r>
    </w:p>
    <w:p w:rsidR="00E57575" w:rsidRDefault="00E57575" w:rsidP="00E57575">
      <w:pPr>
        <w:pStyle w:val="a3"/>
        <w:shd w:val="clear" w:color="auto" w:fill="FFFFFF"/>
        <w:spacing w:before="0" w:beforeAutospacing="0" w:after="0" w:afterAutospacing="0"/>
        <w:jc w:val="both"/>
        <w:rPr>
          <w:rFonts w:ascii="PingFangSC-light" w:hAnsi="PingFangSC-light"/>
          <w:color w:val="000000"/>
          <w:sz w:val="26"/>
          <w:szCs w:val="26"/>
        </w:rPr>
      </w:pPr>
    </w:p>
    <w:p w:rsidR="00E57575" w:rsidRDefault="00E57575" w:rsidP="00E57575">
      <w:pPr>
        <w:pStyle w:val="a3"/>
        <w:shd w:val="clear" w:color="auto" w:fill="FFFFFF"/>
        <w:spacing w:before="0" w:beforeAutospacing="0" w:after="0" w:afterAutospacing="0"/>
        <w:jc w:val="both"/>
        <w:rPr>
          <w:rFonts w:ascii="PingFangSC-light" w:hAnsi="PingFangSC-light"/>
          <w:color w:val="000000"/>
          <w:sz w:val="26"/>
          <w:szCs w:val="26"/>
        </w:rPr>
      </w:pPr>
      <w:r>
        <w:rPr>
          <w:rFonts w:ascii="PingFangSC-light" w:hAnsi="PingFangSC-light"/>
          <w:color w:val="333333"/>
          <w:sz w:val="26"/>
          <w:szCs w:val="26"/>
        </w:rPr>
        <w:t>16</w:t>
      </w:r>
      <w:r>
        <w:rPr>
          <w:rFonts w:ascii="PingFangSC-light" w:hAnsi="PingFangSC-light"/>
          <w:color w:val="333333"/>
          <w:sz w:val="26"/>
          <w:szCs w:val="26"/>
        </w:rPr>
        <w:t>号令第二条至第四条及</w:t>
      </w:r>
      <w:r>
        <w:rPr>
          <w:rFonts w:ascii="PingFangSC-light" w:hAnsi="PingFangSC-light"/>
          <w:color w:val="333333"/>
          <w:sz w:val="26"/>
          <w:szCs w:val="26"/>
        </w:rPr>
        <w:t>843</w:t>
      </w:r>
      <w:r>
        <w:rPr>
          <w:rFonts w:ascii="PingFangSC-light" w:hAnsi="PingFangSC-light"/>
          <w:color w:val="333333"/>
          <w:sz w:val="26"/>
          <w:szCs w:val="26"/>
        </w:rPr>
        <w:t>号文第二条规定范围的项目，其施工、货物、服务采购的单项合同</w:t>
      </w:r>
      <w:proofErr w:type="gramStart"/>
      <w:r>
        <w:rPr>
          <w:rFonts w:ascii="PingFangSC-light" w:hAnsi="PingFangSC-light"/>
          <w:color w:val="333333"/>
          <w:sz w:val="26"/>
          <w:szCs w:val="26"/>
        </w:rPr>
        <w:t>估算价未达到</w:t>
      </w:r>
      <w:proofErr w:type="gramEnd"/>
      <w:r>
        <w:rPr>
          <w:rFonts w:ascii="PingFangSC-light" w:hAnsi="PingFangSC-light"/>
          <w:color w:val="333333"/>
          <w:sz w:val="26"/>
          <w:szCs w:val="26"/>
        </w:rPr>
        <w:t>16</w:t>
      </w:r>
      <w:r>
        <w:rPr>
          <w:rFonts w:ascii="PingFangSC-light" w:hAnsi="PingFangSC-light"/>
          <w:color w:val="333333"/>
          <w:sz w:val="26"/>
          <w:szCs w:val="26"/>
        </w:rPr>
        <w:t>号令第五条规定规模标准的，该单项采购由采购人依法自主选择采购方式，任何单位和个人不得违法干涉；其中，涉及政府采购的，按照政府采购法律法规规定执行。国有企业可以结合实际，建立健全规模标准以下工程建设项目采购制度，推进采购活动公开透明。</w:t>
      </w:r>
    </w:p>
    <w:p w:rsidR="00E57575" w:rsidRDefault="00E57575" w:rsidP="00E57575">
      <w:pPr>
        <w:pStyle w:val="a3"/>
        <w:shd w:val="clear" w:color="auto" w:fill="FFFFFF"/>
        <w:spacing w:before="0" w:beforeAutospacing="0" w:after="0" w:afterAutospacing="0"/>
        <w:jc w:val="both"/>
        <w:rPr>
          <w:rFonts w:ascii="PingFangSC-light" w:hAnsi="PingFangSC-light"/>
          <w:color w:val="000000"/>
          <w:sz w:val="26"/>
          <w:szCs w:val="26"/>
        </w:rPr>
      </w:pPr>
    </w:p>
    <w:p w:rsidR="00E57575" w:rsidRDefault="00E57575" w:rsidP="00E57575">
      <w:pPr>
        <w:pStyle w:val="a3"/>
        <w:shd w:val="clear" w:color="auto" w:fill="FFFFFF"/>
        <w:spacing w:before="0" w:beforeAutospacing="0" w:after="0" w:afterAutospacing="0"/>
        <w:jc w:val="both"/>
        <w:rPr>
          <w:rFonts w:ascii="PingFangSC-light" w:hAnsi="PingFangSC-light"/>
          <w:color w:val="000000"/>
          <w:sz w:val="26"/>
          <w:szCs w:val="26"/>
        </w:rPr>
      </w:pPr>
      <w:r>
        <w:rPr>
          <w:rFonts w:ascii="PingFangSC-light" w:hAnsi="PingFangSC-light"/>
          <w:b/>
          <w:bCs/>
          <w:color w:val="333333"/>
          <w:sz w:val="26"/>
          <w:szCs w:val="26"/>
        </w:rPr>
        <w:t>三、严格执行依法必须招标制度</w:t>
      </w:r>
    </w:p>
    <w:p w:rsidR="00E57575" w:rsidRDefault="00E57575" w:rsidP="00E57575">
      <w:pPr>
        <w:pStyle w:val="a3"/>
        <w:shd w:val="clear" w:color="auto" w:fill="FFFFFF"/>
        <w:spacing w:before="0" w:beforeAutospacing="0" w:after="0" w:afterAutospacing="0"/>
        <w:jc w:val="both"/>
        <w:rPr>
          <w:rFonts w:ascii="PingFangSC-light" w:hAnsi="PingFangSC-light"/>
          <w:color w:val="000000"/>
          <w:sz w:val="26"/>
          <w:szCs w:val="26"/>
        </w:rPr>
      </w:pPr>
    </w:p>
    <w:p w:rsidR="00E57575" w:rsidRDefault="00E57575" w:rsidP="00E57575">
      <w:pPr>
        <w:pStyle w:val="a3"/>
        <w:shd w:val="clear" w:color="auto" w:fill="FFFFFF"/>
        <w:spacing w:before="0" w:beforeAutospacing="0" w:after="0" w:afterAutospacing="0"/>
        <w:jc w:val="both"/>
        <w:rPr>
          <w:rFonts w:ascii="PingFangSC-light" w:hAnsi="PingFangSC-light"/>
          <w:color w:val="000000"/>
          <w:sz w:val="26"/>
          <w:szCs w:val="26"/>
        </w:rPr>
      </w:pPr>
      <w:r>
        <w:rPr>
          <w:rFonts w:ascii="PingFangSC-light" w:hAnsi="PingFangSC-light"/>
          <w:color w:val="333333"/>
          <w:sz w:val="26"/>
          <w:szCs w:val="26"/>
        </w:rPr>
        <w:t>各地方应当严格执行</w:t>
      </w:r>
      <w:r>
        <w:rPr>
          <w:rFonts w:ascii="PingFangSC-light" w:hAnsi="PingFangSC-light"/>
          <w:color w:val="333333"/>
          <w:sz w:val="26"/>
          <w:szCs w:val="26"/>
        </w:rPr>
        <w:t>16</w:t>
      </w:r>
      <w:r>
        <w:rPr>
          <w:rFonts w:ascii="PingFangSC-light" w:hAnsi="PingFangSC-light"/>
          <w:color w:val="333333"/>
          <w:sz w:val="26"/>
          <w:szCs w:val="26"/>
        </w:rPr>
        <w:t>号令和</w:t>
      </w:r>
      <w:r>
        <w:rPr>
          <w:rFonts w:ascii="PingFangSC-light" w:hAnsi="PingFangSC-light"/>
          <w:color w:val="333333"/>
          <w:sz w:val="26"/>
          <w:szCs w:val="26"/>
        </w:rPr>
        <w:t>843</w:t>
      </w:r>
      <w:r>
        <w:rPr>
          <w:rFonts w:ascii="PingFangSC-light" w:hAnsi="PingFangSC-light"/>
          <w:color w:val="333333"/>
          <w:sz w:val="26"/>
          <w:szCs w:val="26"/>
        </w:rPr>
        <w:t>号文规定的范围和规模标准，不得另行制定必须进行招标的范围和规模标准，也不得</w:t>
      </w:r>
      <w:proofErr w:type="gramStart"/>
      <w:r>
        <w:rPr>
          <w:rFonts w:ascii="PingFangSC-light" w:hAnsi="PingFangSC-light"/>
          <w:color w:val="333333"/>
          <w:sz w:val="26"/>
          <w:szCs w:val="26"/>
        </w:rPr>
        <w:t>作出</w:t>
      </w:r>
      <w:proofErr w:type="gramEnd"/>
      <w:r>
        <w:rPr>
          <w:rFonts w:ascii="PingFangSC-light" w:hAnsi="PingFangSC-light"/>
          <w:color w:val="333333"/>
          <w:sz w:val="26"/>
          <w:szCs w:val="26"/>
        </w:rPr>
        <w:t>与</w:t>
      </w:r>
      <w:r>
        <w:rPr>
          <w:rFonts w:ascii="PingFangSC-light" w:hAnsi="PingFangSC-light"/>
          <w:color w:val="333333"/>
          <w:sz w:val="26"/>
          <w:szCs w:val="26"/>
        </w:rPr>
        <w:t>16</w:t>
      </w:r>
      <w:r>
        <w:rPr>
          <w:rFonts w:ascii="PingFangSC-light" w:hAnsi="PingFangSC-light"/>
          <w:color w:val="333333"/>
          <w:sz w:val="26"/>
          <w:szCs w:val="26"/>
        </w:rPr>
        <w:t>号令、</w:t>
      </w:r>
      <w:r>
        <w:rPr>
          <w:rFonts w:ascii="PingFangSC-light" w:hAnsi="PingFangSC-light"/>
          <w:color w:val="333333"/>
          <w:sz w:val="26"/>
          <w:szCs w:val="26"/>
        </w:rPr>
        <w:t>843</w:t>
      </w:r>
      <w:r>
        <w:rPr>
          <w:rFonts w:ascii="PingFangSC-light" w:hAnsi="PingFangSC-light"/>
          <w:color w:val="333333"/>
          <w:sz w:val="26"/>
          <w:szCs w:val="26"/>
        </w:rPr>
        <w:t>号文和本通知相抵触的规定，持续深化招标投标领域</w:t>
      </w:r>
      <w:r>
        <w:rPr>
          <w:rFonts w:ascii="PingFangSC-light" w:hAnsi="PingFangSC-light"/>
          <w:color w:val="333333"/>
          <w:sz w:val="26"/>
          <w:szCs w:val="26"/>
        </w:rPr>
        <w:t>“</w:t>
      </w:r>
      <w:r>
        <w:rPr>
          <w:rFonts w:ascii="PingFangSC-light" w:hAnsi="PingFangSC-light"/>
          <w:color w:val="333333"/>
          <w:sz w:val="26"/>
          <w:szCs w:val="26"/>
        </w:rPr>
        <w:t>放管服</w:t>
      </w:r>
      <w:r>
        <w:rPr>
          <w:rFonts w:ascii="PingFangSC-light" w:hAnsi="PingFangSC-light"/>
          <w:color w:val="333333"/>
          <w:sz w:val="26"/>
          <w:szCs w:val="26"/>
        </w:rPr>
        <w:t>”</w:t>
      </w:r>
      <w:r>
        <w:rPr>
          <w:rFonts w:ascii="PingFangSC-light" w:hAnsi="PingFangSC-light"/>
          <w:color w:val="333333"/>
          <w:sz w:val="26"/>
          <w:szCs w:val="26"/>
        </w:rPr>
        <w:t>改革，努力营造良好市场环境。</w:t>
      </w:r>
    </w:p>
    <w:p w:rsidR="00E57575" w:rsidRDefault="00E57575" w:rsidP="00E57575">
      <w:pPr>
        <w:pStyle w:val="a3"/>
        <w:shd w:val="clear" w:color="auto" w:fill="FFFFFF"/>
        <w:spacing w:before="0" w:beforeAutospacing="0" w:after="0" w:afterAutospacing="0"/>
        <w:jc w:val="both"/>
        <w:rPr>
          <w:rFonts w:ascii="PingFangSC-light" w:hAnsi="PingFangSC-light"/>
          <w:color w:val="000000"/>
          <w:sz w:val="26"/>
          <w:szCs w:val="26"/>
        </w:rPr>
      </w:pPr>
    </w:p>
    <w:p w:rsidR="00E57575" w:rsidRDefault="00E57575" w:rsidP="00E57575">
      <w:pPr>
        <w:pStyle w:val="a3"/>
        <w:shd w:val="clear" w:color="auto" w:fill="FFFFFF"/>
        <w:spacing w:before="0" w:beforeAutospacing="0" w:after="0" w:afterAutospacing="0"/>
        <w:jc w:val="right"/>
        <w:rPr>
          <w:rFonts w:ascii="PingFangSC-light" w:hAnsi="PingFangSC-light"/>
          <w:color w:val="000000"/>
          <w:sz w:val="26"/>
          <w:szCs w:val="26"/>
        </w:rPr>
      </w:pPr>
      <w:r>
        <w:rPr>
          <w:rFonts w:ascii="PingFangSC-light" w:hAnsi="PingFangSC-light"/>
          <w:color w:val="000000"/>
          <w:sz w:val="26"/>
          <w:szCs w:val="26"/>
        </w:rPr>
        <w:t>国家发展改革委办公厅</w:t>
      </w:r>
    </w:p>
    <w:p w:rsidR="003233B2" w:rsidRPr="00E57575" w:rsidRDefault="00E57575" w:rsidP="00E57575">
      <w:pPr>
        <w:pStyle w:val="a3"/>
        <w:shd w:val="clear" w:color="auto" w:fill="FFFFFF"/>
        <w:spacing w:before="0" w:beforeAutospacing="0" w:after="0" w:afterAutospacing="0"/>
        <w:jc w:val="right"/>
      </w:pPr>
      <w:r>
        <w:rPr>
          <w:rFonts w:ascii="PingFangSC-light" w:hAnsi="PingFangSC-light"/>
          <w:color w:val="000000"/>
          <w:sz w:val="26"/>
          <w:szCs w:val="26"/>
        </w:rPr>
        <w:t>2020</w:t>
      </w:r>
      <w:r>
        <w:rPr>
          <w:rFonts w:ascii="PingFangSC-light" w:hAnsi="PingFangSC-light"/>
          <w:color w:val="000000"/>
          <w:sz w:val="26"/>
          <w:szCs w:val="26"/>
        </w:rPr>
        <w:t>年</w:t>
      </w:r>
      <w:r>
        <w:rPr>
          <w:rFonts w:ascii="PingFangSC-light" w:hAnsi="PingFangSC-light"/>
          <w:color w:val="000000"/>
          <w:sz w:val="26"/>
          <w:szCs w:val="26"/>
        </w:rPr>
        <w:t>10</w:t>
      </w:r>
      <w:r>
        <w:rPr>
          <w:rFonts w:ascii="PingFangSC-light" w:hAnsi="PingFangSC-light"/>
          <w:color w:val="000000"/>
          <w:sz w:val="26"/>
          <w:szCs w:val="26"/>
        </w:rPr>
        <w:t>月</w:t>
      </w:r>
      <w:r>
        <w:rPr>
          <w:rFonts w:ascii="PingFangSC-light" w:hAnsi="PingFangSC-light"/>
          <w:color w:val="000000"/>
          <w:sz w:val="26"/>
          <w:szCs w:val="26"/>
        </w:rPr>
        <w:t>19</w:t>
      </w:r>
      <w:r>
        <w:rPr>
          <w:rFonts w:ascii="PingFangSC-light" w:hAnsi="PingFangSC-light"/>
          <w:color w:val="000000"/>
          <w:sz w:val="26"/>
          <w:szCs w:val="26"/>
        </w:rPr>
        <w:t>日</w:t>
      </w:r>
    </w:p>
    <w:sectPr w:rsidR="003233B2" w:rsidRPr="00E57575" w:rsidSect="003233B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PingFangSC-ligh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57575"/>
    <w:rsid w:val="002F453C"/>
    <w:rsid w:val="003233B2"/>
    <w:rsid w:val="006B74FB"/>
    <w:rsid w:val="00893F2C"/>
    <w:rsid w:val="00AE6AA6"/>
    <w:rsid w:val="00B5243B"/>
    <w:rsid w:val="00BC7149"/>
    <w:rsid w:val="00BD5FAA"/>
    <w:rsid w:val="00E575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rightChars="83" w:right="83"/>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FAA"/>
    <w:pPr>
      <w:widowControl w:val="0"/>
      <w:ind w:rightChars="0" w:right="0"/>
      <w:jc w:val="both"/>
    </w:pPr>
  </w:style>
  <w:style w:type="paragraph" w:styleId="3">
    <w:name w:val="heading 3"/>
    <w:basedOn w:val="a"/>
    <w:next w:val="a"/>
    <w:link w:val="3Char"/>
    <w:unhideWhenUsed/>
    <w:qFormat/>
    <w:rsid w:val="00BD5FA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BD5FAA"/>
    <w:rPr>
      <w:b/>
      <w:bCs/>
      <w:sz w:val="32"/>
      <w:szCs w:val="32"/>
    </w:rPr>
  </w:style>
  <w:style w:type="paragraph" w:styleId="a3">
    <w:name w:val="Normal (Web)"/>
    <w:basedOn w:val="a"/>
    <w:uiPriority w:val="99"/>
    <w:unhideWhenUsed/>
    <w:rsid w:val="00E57575"/>
    <w:pPr>
      <w:widowControl/>
      <w:spacing w:before="100" w:beforeAutospacing="1" w:after="100" w:afterAutospacing="1" w:line="240" w:lineRule="auto"/>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4592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250</Words>
  <Characters>1427</Characters>
  <Application>Microsoft Office Word</Application>
  <DocSecurity>0</DocSecurity>
  <Lines>11</Lines>
  <Paragraphs>3</Paragraphs>
  <ScaleCrop>false</ScaleCrop>
  <Company>Microsoft</Company>
  <LinksUpToDate>false</LinksUpToDate>
  <CharactersWithSpaces>1674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gsd</dc:creator>
  <cp:lastModifiedBy>gsd</cp:lastModifiedBy>
  <cp:revision>2</cp:revision>
  <dcterms:created xsi:type="dcterms:W3CDTF">2021-03-25T06:17:00Z</dcterms:created>
  <dcterms:modified xsi:type="dcterms:W3CDTF">2021-03-25T06:18:00Z</dcterms:modified>
</cp:coreProperties>
</file>